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附件一</w:t>
      </w:r>
    </w:p>
    <w:p>
      <w:pPr>
        <w:spacing w:beforeLines="50" w:afterLines="5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教师五项技能校级竞赛名额分配表</w:t>
      </w:r>
    </w:p>
    <w:tbl>
      <w:tblPr>
        <w:tblStyle w:val="3"/>
        <w:tblW w:w="7965" w:type="dxa"/>
        <w:jc w:val="center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7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学院名称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信息学院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机械工程学院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电子工程学院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汽车工程学院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环境与生化工程学院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艺术与传媒学院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人文学院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体育学院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48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开放教育学院</w:t>
            </w:r>
          </w:p>
        </w:tc>
        <w:tc>
          <w:tcPr>
            <w:tcW w:w="30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r>
        <w:rPr>
          <w:rStyle w:val="4"/>
          <w:rFonts w:hint="eastAsia" w:ascii="宋体" w:hAnsi="宋体" w:eastAsia="宋体" w:cs="宋体"/>
          <w:kern w:val="0"/>
          <w:sz w:val="28"/>
          <w:szCs w:val="28"/>
        </w:rPr>
        <w:t>竞赛名额分配按各学院适龄教师人数比例分配。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content1"/>
    <w:basedOn w:val="2"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2019-03-07T00:51:35Z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